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10342" w:type="dxa"/>
        <w:tblInd w:w="-851" w:type="dxa"/>
        <w:tblBorders>
          <w:top w:val="nil"/>
          <w:left w:val="nil"/>
          <w:bottom w:val="nil"/>
          <w:right w:val="nil"/>
          <w:insideH w:val="nil"/>
          <w:insideV w:val="nil"/>
        </w:tblBorders>
        <w:tblLayout w:type="fixed"/>
        <w:tblLook w:val="0400" w:firstRow="0" w:lastRow="0" w:firstColumn="0" w:lastColumn="0" w:noHBand="0" w:noVBand="1"/>
      </w:tblPr>
      <w:tblGrid>
        <w:gridCol w:w="4253"/>
        <w:gridCol w:w="6089"/>
      </w:tblGrid>
      <w:tr w:rsidR="007E719B" w:rsidRPr="00D92E59" w:rsidTr="00D92E59">
        <w:tc>
          <w:tcPr>
            <w:tcW w:w="4253" w:type="dxa"/>
          </w:tcPr>
          <w:p w:rsidR="007E719B" w:rsidRPr="00D92E59" w:rsidRDefault="00761236" w:rsidP="00E639BE">
            <w:pPr>
              <w:widowControl w:val="0"/>
              <w:tabs>
                <w:tab w:val="right" w:pos="8640"/>
              </w:tabs>
              <w:jc w:val="center"/>
              <w:rPr>
                <w:bCs/>
                <w:sz w:val="26"/>
                <w:szCs w:val="26"/>
              </w:rPr>
            </w:pPr>
            <w:r w:rsidRPr="00D92E59">
              <w:rPr>
                <w:bCs/>
                <w:sz w:val="26"/>
                <w:szCs w:val="26"/>
              </w:rPr>
              <w:t>BỘ CÔNG</w:t>
            </w:r>
            <w:r w:rsidR="00E639BE" w:rsidRPr="00D92E59">
              <w:rPr>
                <w:bCs/>
                <w:sz w:val="26"/>
                <w:szCs w:val="26"/>
              </w:rPr>
              <w:t xml:space="preserve"> </w:t>
            </w:r>
            <w:r w:rsidRPr="00D92E59">
              <w:rPr>
                <w:bCs/>
                <w:sz w:val="26"/>
                <w:szCs w:val="26"/>
              </w:rPr>
              <w:t>THƯƠNG</w:t>
            </w:r>
          </w:p>
          <w:p w:rsidR="00D92E59" w:rsidRPr="00D92E59" w:rsidRDefault="00D92E59" w:rsidP="00E639BE">
            <w:pPr>
              <w:widowControl w:val="0"/>
              <w:tabs>
                <w:tab w:val="right" w:pos="8640"/>
              </w:tabs>
              <w:jc w:val="center"/>
              <w:rPr>
                <w:b/>
                <w:bCs/>
                <w:sz w:val="26"/>
                <w:szCs w:val="26"/>
              </w:rPr>
            </w:pPr>
            <w:r w:rsidRPr="00D92E59">
              <w:rPr>
                <w:b/>
                <w:bCs/>
                <w:noProof/>
                <w:sz w:val="26"/>
                <w:szCs w:val="26"/>
                <w:lang w:val="en-US"/>
              </w:rPr>
              <mc:AlternateContent>
                <mc:Choice Requires="wps">
                  <w:drawing>
                    <wp:anchor distT="0" distB="0" distL="114300" distR="114300" simplePos="0" relativeHeight="251659264" behindDoc="0" locked="0" layoutInCell="1" allowOverlap="1" wp14:anchorId="0FD3A39D" wp14:editId="45387FF9">
                      <wp:simplePos x="0" y="0"/>
                      <wp:positionH relativeFrom="column">
                        <wp:posOffset>848747</wp:posOffset>
                      </wp:positionH>
                      <wp:positionV relativeFrom="paragraph">
                        <wp:posOffset>479039</wp:posOffset>
                      </wp:positionV>
                      <wp:extent cx="981075" cy="0"/>
                      <wp:effectExtent l="0" t="0" r="28575" b="19050"/>
                      <wp:wrapNone/>
                      <wp:docPr id="4" name="Straight Connector 4"/>
                      <wp:cNvGraphicFramePr/>
                      <a:graphic xmlns:a="http://schemas.openxmlformats.org/drawingml/2006/main">
                        <a:graphicData uri="http://schemas.microsoft.com/office/word/2010/wordprocessingShape">
                          <wps:wsp>
                            <wps:cNvCnPr/>
                            <wps:spPr>
                              <a:xfrm>
                                <a:off x="0" y="0"/>
                                <a:ext cx="981075"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E6F798"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6.85pt,37.7pt" to="144.1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" strokecolor="black [3040]"/>
                  </w:pict>
                </mc:Fallback>
              </mc:AlternateContent>
            </w:r>
            <w:r w:rsidRPr="00D92E59">
              <w:rPr>
                <w:b/>
                <w:bCs/>
                <w:sz w:val="26"/>
                <w:szCs w:val="26"/>
              </w:rPr>
              <w:t>CỤC QUẢN LÝ VÀ PHÁT TRIỂN THỊ TRƯỜNG TRONG NƯỚC</w:t>
            </w:r>
          </w:p>
        </w:tc>
        <w:tc>
          <w:tcPr>
            <w:tcW w:w="6089" w:type="dxa"/>
          </w:tcPr>
          <w:p w:rsidR="007E719B" w:rsidRPr="00D92E59" w:rsidRDefault="00761236">
            <w:pPr>
              <w:widowControl w:val="0"/>
              <w:tabs>
                <w:tab w:val="right" w:pos="8640"/>
              </w:tabs>
              <w:jc w:val="center"/>
              <w:rPr>
                <w:b/>
                <w:bCs/>
                <w:sz w:val="26"/>
                <w:szCs w:val="26"/>
              </w:rPr>
            </w:pPr>
            <w:r w:rsidRPr="00D92E59">
              <w:rPr>
                <w:b/>
                <w:bCs/>
                <w:sz w:val="26"/>
                <w:szCs w:val="26"/>
              </w:rPr>
              <w:t>CỘNG HÒA XÃ HỘI CHỦ NGHĨA VIỆT NAM</w:t>
            </w:r>
          </w:p>
          <w:p w:rsidR="007E719B" w:rsidRPr="00D92E59" w:rsidRDefault="00761236">
            <w:pPr>
              <w:widowControl w:val="0"/>
              <w:tabs>
                <w:tab w:val="right" w:pos="8640"/>
              </w:tabs>
              <w:jc w:val="center"/>
              <w:rPr>
                <w:b/>
                <w:bCs/>
                <w:sz w:val="26"/>
                <w:szCs w:val="26"/>
              </w:rPr>
            </w:pPr>
            <w:r w:rsidRPr="00D92E59">
              <w:rPr>
                <w:b/>
                <w:bCs/>
                <w:sz w:val="26"/>
                <w:szCs w:val="26"/>
              </w:rPr>
              <w:t>Độc lập – Tự do – Hạnh phúc</w:t>
            </w:r>
          </w:p>
          <w:p w:rsidR="007E719B" w:rsidRPr="00D92E59" w:rsidRDefault="00E639BE">
            <w:pPr>
              <w:widowControl w:val="0"/>
              <w:tabs>
                <w:tab w:val="right" w:pos="8640"/>
              </w:tabs>
              <w:jc w:val="center"/>
              <w:rPr>
                <w:b/>
                <w:bCs/>
                <w:sz w:val="26"/>
                <w:szCs w:val="26"/>
              </w:rPr>
            </w:pPr>
            <w:r w:rsidRPr="00D92E59">
              <w:rPr>
                <w:b/>
                <w:bCs/>
                <w:noProof/>
                <w:sz w:val="26"/>
                <w:szCs w:val="26"/>
                <w:lang w:val="en-US"/>
              </w:rPr>
              <mc:AlternateContent>
                <mc:Choice Requires="wps">
                  <w:drawing>
                    <wp:anchor distT="0" distB="0" distL="114300" distR="114300" simplePos="0" relativeHeight="251660288" behindDoc="0" locked="0" layoutInCell="1" allowOverlap="1">
                      <wp:simplePos x="0" y="0"/>
                      <wp:positionH relativeFrom="column">
                        <wp:posOffset>766444</wp:posOffset>
                      </wp:positionH>
                      <wp:positionV relativeFrom="paragraph">
                        <wp:posOffset>86360</wp:posOffset>
                      </wp:positionV>
                      <wp:extent cx="2219325" cy="0"/>
                      <wp:effectExtent l="0" t="0" r="28575" b="19050"/>
                      <wp:wrapNone/>
                      <wp:docPr id="5" name="Straight Connector 5"/>
                      <wp:cNvGraphicFramePr/>
                      <a:graphic xmlns:a="http://schemas.openxmlformats.org/drawingml/2006/main">
                        <a:graphicData uri="http://schemas.microsoft.com/office/word/2010/wordprocessingShape">
                          <wps:wsp>
                            <wps:cNvCnPr/>
                            <wps:spPr>
                              <a:xfrm>
                                <a:off x="0" y="0"/>
                                <a:ext cx="2219325"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707353F" id="Straight Connector 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60.35pt,6.8pt" to="235.1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" strokecolor="black [3040]"/>
                  </w:pict>
                </mc:Fallback>
              </mc:AlternateContent>
            </w:r>
          </w:p>
          <w:p w:rsidR="007E719B" w:rsidRPr="00D92E59" w:rsidRDefault="00761236">
            <w:pPr>
              <w:widowControl w:val="0"/>
              <w:tabs>
                <w:tab w:val="right" w:pos="8640"/>
              </w:tabs>
              <w:jc w:val="center"/>
              <w:rPr>
                <w:i/>
                <w:iCs/>
                <w:sz w:val="26"/>
                <w:szCs w:val="26"/>
              </w:rPr>
            </w:pPr>
            <w:r w:rsidRPr="00D92E59">
              <w:rPr>
                <w:i/>
                <w:iCs/>
                <w:sz w:val="26"/>
                <w:szCs w:val="26"/>
              </w:rPr>
              <w:t>Hà Nội, ngày     tháng    năm 2026</w:t>
            </w:r>
          </w:p>
        </w:tc>
      </w:tr>
    </w:tbl>
    <w:p w:rsidR="007E719B" w:rsidRDefault="007E719B">
      <w:pPr>
        <w:widowControl w:val="0"/>
        <w:tabs>
          <w:tab w:val="right" w:pos="8640"/>
        </w:tabs>
        <w:spacing w:after="0" w:line="240" w:lineRule="auto"/>
        <w:rPr>
          <w:rFonts w:ascii="Times New Roman" w:eastAsia="Times New Roman" w:hAnsi="Times New Roman" w:cs="Times New Roman"/>
          <w:b/>
          <w:bCs/>
          <w:sz w:val="16"/>
          <w:szCs w:val="16"/>
        </w:rPr>
      </w:pPr>
    </w:p>
    <w:p w:rsidR="007E719B" w:rsidRDefault="007E719B">
      <w:pPr>
        <w:widowControl w:val="0"/>
        <w:tabs>
          <w:tab w:val="right" w:pos="8640"/>
        </w:tabs>
        <w:spacing w:after="0" w:line="240" w:lineRule="auto"/>
        <w:rPr>
          <w:rFonts w:ascii="Times New Roman" w:eastAsia="Times New Roman" w:hAnsi="Times New Roman" w:cs="Times New Roman"/>
          <w:b/>
          <w:bCs/>
          <w:sz w:val="28"/>
          <w:szCs w:val="28"/>
        </w:rPr>
      </w:pPr>
    </w:p>
    <w:p w:rsidR="007E719B" w:rsidRPr="001B785D" w:rsidRDefault="00761236">
      <w:pPr>
        <w:widowControl w:val="0"/>
        <w:tabs>
          <w:tab w:val="right" w:pos="8640"/>
        </w:tabs>
        <w:spacing w:after="0" w:line="240" w:lineRule="auto"/>
        <w:jc w:val="center"/>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 xml:space="preserve">BẢN ĐÁNH GIÁ THỦ TỤC HÀNH CHÍNH, VIỆC PHÂN QUYỀN, </w:t>
      </w:r>
    </w:p>
    <w:p w:rsidR="007E719B" w:rsidRPr="001B785D" w:rsidRDefault="00761236">
      <w:pPr>
        <w:widowControl w:val="0"/>
        <w:tabs>
          <w:tab w:val="right" w:pos="8640"/>
        </w:tabs>
        <w:spacing w:after="0" w:line="240" w:lineRule="auto"/>
        <w:jc w:val="center"/>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 xml:space="preserve">PHÂN CẤP, VIỆC ỨNG DỤNG, THÚC ĐẨY PHÁT TRIỂN KHOA HỌC, </w:t>
      </w:r>
    </w:p>
    <w:p w:rsidR="007E719B" w:rsidRPr="001B785D" w:rsidRDefault="00761236">
      <w:pPr>
        <w:widowControl w:val="0"/>
        <w:tabs>
          <w:tab w:val="right" w:pos="8640"/>
        </w:tabs>
        <w:spacing w:after="0" w:line="240" w:lineRule="auto"/>
        <w:jc w:val="center"/>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 xml:space="preserve">CÔNG NGHỆ, ĐỔI MỚI SÁNG TẠO VÀ CHUYỂN ĐỔI SỐ, BẢO ĐẢM BÌNH ĐẲNG GIỚI, VIỆC THỰC HIỆN </w:t>
      </w:r>
      <w:r w:rsidR="001B785D" w:rsidRPr="001B785D">
        <w:rPr>
          <w:rFonts w:ascii="Times New Roman" w:eastAsia="Times New Roman" w:hAnsi="Times New Roman" w:cs="Times New Roman"/>
          <w:b/>
          <w:bCs/>
          <w:sz w:val="28"/>
          <w:szCs w:val="28"/>
        </w:rPr>
        <w:t>CHÍNH SÁCH DÂN TỘC TRONG</w:t>
      </w:r>
      <w:r w:rsidRPr="001B785D">
        <w:rPr>
          <w:rFonts w:ascii="Times New Roman" w:eastAsia="Times New Roman" w:hAnsi="Times New Roman" w:cs="Times New Roman"/>
          <w:b/>
          <w:bCs/>
          <w:sz w:val="28"/>
          <w:szCs w:val="28"/>
        </w:rPr>
        <w:t xml:space="preserve"> </w:t>
      </w:r>
      <w:r w:rsidR="001B785D" w:rsidRPr="001B785D">
        <w:rPr>
          <w:rFonts w:ascii="Times New Roman" w:hAnsi="Times New Roman" w:cs="Times New Roman"/>
          <w:b/>
          <w:sz w:val="28"/>
          <w:szCs w:val="28"/>
        </w:rPr>
        <w:t>TRONG DỰ THẢO THÔNG TƯ HƯỚNG DẪN THỰC HIỆN NGHỊ ĐỊNH QUY ĐỊNH CHI TIẾT MỘT SỐ ĐIỀU VÀ BIỆN PHÁP THI HÀNH LUẬT THƯƠNG MẠI VỀ HOẠT ĐỘNG MUA BÁN HÀNG HÓA QUA SỞ GIAO DỊCH HÀNG HÓA</w:t>
      </w:r>
    </w:p>
    <w:p w:rsidR="007E719B" w:rsidRPr="001B785D" w:rsidRDefault="00761236">
      <w:pPr>
        <w:widowControl w:val="0"/>
        <w:spacing w:before="120" w:after="0" w:line="240" w:lineRule="auto"/>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ab/>
      </w:r>
    </w:p>
    <w:p w:rsidR="007E719B" w:rsidRPr="001B785D" w:rsidRDefault="007E719B">
      <w:pPr>
        <w:widowControl w:val="0"/>
        <w:spacing w:before="120" w:after="0" w:line="240" w:lineRule="auto"/>
        <w:ind w:firstLine="720"/>
        <w:jc w:val="both"/>
        <w:rPr>
          <w:rFonts w:ascii="Times New Roman" w:eastAsia="Times New Roman" w:hAnsi="Times New Roman" w:cs="Times New Roman"/>
          <w:sz w:val="28"/>
          <w:szCs w:val="28"/>
        </w:rPr>
      </w:pPr>
    </w:p>
    <w:p w:rsidR="007E719B" w:rsidRPr="001B785D" w:rsidRDefault="00761236" w:rsidP="00224828">
      <w:pPr>
        <w:widowControl w:val="0"/>
        <w:spacing w:before="120" w:after="0" w:line="264" w:lineRule="auto"/>
        <w:ind w:firstLine="720"/>
        <w:jc w:val="both"/>
        <w:rPr>
          <w:rFonts w:ascii="Times New Roman" w:eastAsia="Times New Roman" w:hAnsi="Times New Roman" w:cs="Times New Roman"/>
          <w:sz w:val="28"/>
          <w:szCs w:val="28"/>
        </w:rPr>
      </w:pPr>
      <w:r w:rsidRPr="001B785D">
        <w:rPr>
          <w:rFonts w:ascii="Times New Roman" w:eastAsia="Times New Roman" w:hAnsi="Times New Roman" w:cs="Times New Roman"/>
          <w:sz w:val="28"/>
          <w:szCs w:val="28"/>
        </w:rPr>
        <w:t>Thực hiện quy định của Luật Ban hành văn bản quy phạm pháp luật, Bộ Công Thương đã tiến hành đánh giá thủ tục hành chính, việc phân quyền, phân cấp, việc ứng dụng, thúc đẩy phát triển khoa học, công nghệ, đổi mới sáng tạo và chuyển đổi số, việc bảo đảm bình đẳng giới, việc thực hiện chính sách dân tộc trong dự thảo Thông tư quy định chi tiết về yêu cầu kỹ thuật hệ thống công nghệ thông tin, hồ sơ đề nghị thành lập và chế độ báo cáo, kết nối dữ liệu giao dịch của Sở giao dịch hàng hóa. Kết quả như sau:</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I. TỔ CHỨC THỰC HIỆN ĐÁNH GIÁ</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1. </w:t>
      </w:r>
      <w:r w:rsidRPr="001B785D">
        <w:rPr>
          <w:rFonts w:ascii="Times New Roman" w:eastAsia="Times New Roman" w:hAnsi="Times New Roman" w:cs="Times New Roman"/>
          <w:b/>
          <w:bCs/>
          <w:sz w:val="28"/>
          <w:szCs w:val="28"/>
        </w:rPr>
        <w:t>Bối cảnh xây dựng dự thảo Thông tư</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Dự thảo Thông tư được xây dựng nhằm hướng dẫn thực hiện Nghị định của Chính phủ quy định chi tiết một số điều và biện pháp thi hành Luật Thương mại về hoạt động mua bán hàng hóa qua Sở giao dịch hàng hóa. Nội dung chủ yếu của Thông tư bao gồm hướng dẫn về báo cáo mô tả hệ thống công nghệ thông tin và tài liệu chứng minh đáp ứng điều kiện thành lập Sở giao dịch hàng hóa, điều kiện hoạt động của Trung tâm thanh toán bù trừ; hướng dẫn xây dựng Đề án mô hình, tổ chức hoạt động; quy định chế độ báo cáo; yêu cầu kết nối, cung cấp và chia sẻ dữ liệu phục vụ công tác quản lý nhà nước.</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Trong bối cảnh hoạt động giao dịch hàng hóa ngày càng phát triển theo hướng số hóa, giao dịch điện tử và kết nối xuyên biên giới, yêu cầu đặt ra là phải xây dựng cơ chế quản lý hiện đại, bảo đảm khả năng giám sát theo thời gian thực, kiểm soát rủi ro thị trường, nâng cao tính minh bạch và bảo vệ quyền lợi của các chủ thể tham gia thị trường. Việc ban hành Thông tư là cần thiết nhằm cụ thể hóa các quy định của Nghị định, tạo cơ sở pháp lý thống nhất cho quá trình triển khai trên thực tế.</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2. </w:t>
      </w:r>
      <w:r w:rsidRPr="001B785D">
        <w:rPr>
          <w:rFonts w:ascii="Times New Roman" w:eastAsia="Times New Roman" w:hAnsi="Times New Roman" w:cs="Times New Roman"/>
          <w:b/>
          <w:bCs/>
          <w:sz w:val="28"/>
          <w:szCs w:val="28"/>
        </w:rPr>
        <w:t>Mục đích và yêu cầu đánh giá</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Việc đánh giá được thực hiện nhằm xác định đầy đủ tác động của dự thảo Thông tư đối với cơ quan quản lý nhà nước, doanh nghiệp và các chủ thể có liên quan; đánh giá mức độ phù hợp của các quy định với chủ trương cải cách thủ tục hành chính, chuyển đổi số q</w:t>
      </w:r>
      <w:bookmarkStart w:id="0" w:name="_GoBack"/>
      <w:bookmarkEnd w:id="0"/>
      <w:r w:rsidRPr="001B785D">
        <w:rPr>
          <w:rFonts w:ascii="Times New Roman" w:eastAsia="Times New Roman" w:hAnsi="Times New Roman" w:cs="Times New Roman"/>
          <w:bCs/>
          <w:sz w:val="28"/>
          <w:szCs w:val="28"/>
        </w:rPr>
        <w:t>uốc gia, phát triển khoa học công nghệ, đổi mới sáng tạo, phân quyền, phân cấp quản lý nhà nước, bảo đảm bình đẳng giới và thực hiện chính sách dân tộc.</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Việc đánh giá được thực hiện trên cơ sở phân tích quy định của dự thảo Thông tư, đối chiếu với các quy định của pháp luật hiện hành, tham khảo kinh nghiệm quốc tế và thực tiễn quản lý hoạt động mua bán hàng hóa qua Sở giao dịch hàng hóa.</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II. KẾT QUẢ ĐÁNH GIÁ</w:t>
      </w:r>
    </w:p>
    <w:p w:rsidR="001B785D" w:rsidRPr="001B785D" w:rsidRDefault="001B785D" w:rsidP="001B785D">
      <w:pPr>
        <w:pStyle w:val="ListParagraph"/>
        <w:widowControl w:val="0"/>
        <w:numPr>
          <w:ilvl w:val="0"/>
          <w:numId w:val="1"/>
        </w:numPr>
        <w:spacing w:before="120" w:after="0" w:line="264" w:lineRule="auto"/>
        <w:jc w:val="both"/>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Đánh giá thủ tục hành chính</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Dự thảo Thông tư không quy định thủ tục hành chính mới. Các thủ tục hành chính liên quan đến việc thành lập Sở giao dịch hàng hóa và chấp thuận đủ điều kiện hoạt động đối với Trung tâm thanh toán bù trừ đã được quy định tại Nghị định của Chính phủ.</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Thông tư chỉ hướng dẫn chi tiết thành phần hồ sơ, nội dung báo cáo mô tả hệ thống công nghệ thông tin, nội dung Đề án mô hình, tổ chức hoạt động và chế độ báo cáo, kết nối dữ liệu nhằm bảo đảm tính thống nhất trong quá trình thực hiện.</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Các quy định tại dự thảo Thông tư không làm phát sinh thêm đối tượng thực hiện thủ tục hành chính, không làm thay đổi cơ quan giải quyết, trình tự thực hiện, thời hạn giải quyết hoặc kết quả giải quyết thủ tục hành chính đã được quy định tại Nghị định.</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Về chi phí tuân thủ, doanh nghiệp có trách nhiệm xây dựng hệ thống công nghệ thông tin, hạ tầng dữ liệu, hệ thống an toàn thông tin và các tài liệu kỹ thuật liên quan. Tuy nhiên, đây là những điều kiện mang tính bản chất để vận hành Sở giao dịch hàng hóa hoặc Trung tâm thanh toán bù trừ, không phải chi phí phát sinh do Thông tư đặt ra. Ngược lại, việc chuẩn hóa thành phần hồ sơ và yêu cầu kỹ thuật giúp doanh nghiệp giảm thời gian chuẩn bị hồ sơ, hạn chế việc sửa đổi, bổ sung nhiều lần và nâng cao tính dự báo trong quá trình thực hiện.</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Đối với chế độ báo cáo và kết nối dữ liệu, việc áp dụng phương thức điện tử, kết nối tự động và chia sẻ dữ liệu thông qua giao diện lập trình ứng dụng (API) giúp giảm đáng kể chi phí hành chính, giảm khối lượng báo cáo thủ công và nâng cao hiệu quả trao đổi thông tin giữa doanh nghiệp với cơ quan quản lý nhà nước.</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 xml:space="preserve">Do đó, các quy định tại dự thảo Thông tư là cần thiết, hợp lý, khả thi, không </w:t>
      </w:r>
      <w:r w:rsidRPr="001B785D">
        <w:rPr>
          <w:rFonts w:ascii="Times New Roman" w:eastAsia="Times New Roman" w:hAnsi="Times New Roman" w:cs="Times New Roman"/>
          <w:bCs/>
          <w:sz w:val="28"/>
          <w:szCs w:val="28"/>
        </w:rPr>
        <w:lastRenderedPageBreak/>
        <w:t>làm phát sinh thủ tục hành chính mới và góp phần giảm chi phí xã hội trong dài hạn.</w:t>
      </w:r>
    </w:p>
    <w:p w:rsidR="001B785D" w:rsidRPr="001B785D" w:rsidRDefault="001B785D" w:rsidP="001B785D">
      <w:pPr>
        <w:pStyle w:val="ListParagraph"/>
        <w:widowControl w:val="0"/>
        <w:numPr>
          <w:ilvl w:val="0"/>
          <w:numId w:val="1"/>
        </w:numPr>
        <w:spacing w:before="120" w:after="0" w:line="264" w:lineRule="auto"/>
        <w:jc w:val="both"/>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Đánh giá về phân quyền, phân cấp</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Dự thảo Thông tư không làm thay đổi thẩm quyền quản lý nhà nước đã được quy định tại Nghị định. Bộ Công Thương tiếp tục là cơ quan thực hiện quản lý nhà nước đối với hoạt động mua bán hàng hóa qua Sở giao dịch hàng hóa; Cục Quản lý và Phát triển thị trường trong nước là đơn vị đầu mối tham mưu, tổ chức thực hiện theo chức năng, nhiệm vụ được giao.</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Các quy định tại Thông tư không phát sinh việc phân quyền hoặc phân cấp mới giữa cơ quan trung ương và địa phương. Tuy nhiên, thông qua việc chuẩn hóa dữ liệu và kết nối điện tử, dự thảo Thông tư góp phần nâng cao hiệu quả phối hợp giữa cơ quan quản lý nhà nước với doanh nghiệp, từng bước chuyển đổi từ phương thức quản lý dựa trên hồ sơ giấy sang phương thức quản lý dựa trên dữ liệu số.</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Qua đó, nâng cao hiệu quả thực thi công vụ, tăng cường khả năng giám sát, cảnh báo và xử lý rủi ro thị trường theo thời gian thực.</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3. </w:t>
      </w:r>
      <w:r w:rsidRPr="001B785D">
        <w:rPr>
          <w:rFonts w:ascii="Times New Roman" w:eastAsia="Times New Roman" w:hAnsi="Times New Roman" w:cs="Times New Roman"/>
          <w:b/>
          <w:bCs/>
          <w:sz w:val="28"/>
          <w:szCs w:val="28"/>
        </w:rPr>
        <w:t>Đánh giá tác động đối với khoa học, công nghệ, đổi mới sáng tạo và chuyển đổi số</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Dự thảo Thông tư có tác động tích cực và trực tiếp đến việc thúc đẩy ứng dụng khoa học công nghệ, đổi mới sáng tạo và chuyển đổi số trong lĩnh vực giao dịch hàng hóa.</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Thông tư quy định các yêu cầu về hệ thống giao dịch điện tử, hệ thống quản lý dữ liệu, hệ thống giám sát giao dịch, cơ chế kết nối dữ liệu điện tử, yêu cầu bảo đảm an toàn thông tin, an ninh mạng, sao lưu dữ liệu và khôi phục hệ thống khi xảy ra sự cố. Đây là các yếu tố nền tảng để xây dựng hạ tầng số cho thị trường giao dịch hàng hóa hiện đại.</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Việc thực hiện kết nối và chia sẻ dữ liệu theo thời gian thực giúp hình thành cơ sở dữ liệu tập trung phục vụ công tác quản lý, giám sát và điều hành thị trường; tạo điều kiện cho việc ứng dụng công nghệ dữ liệu lớn (Big Data), trí tuệ nhân tạo (AI) và các công nghệ phân tích dữ liệu trong công tác quản lý nhà nước.</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Thông tư cũng góp phần thúc đẩy doanh nghiệp đầu tư đổi mới công nghệ, nâng cao năng lực quản trị rủi ro, tăng cường khả năng kết nối với các hệ thống giao dịch trong nước và quốc tế, phù hợp với định hướng phát triển kinh tế số và Chính phủ số.</w:t>
      </w:r>
    </w:p>
    <w:p w:rsidR="001B785D" w:rsidRPr="001B785D" w:rsidRDefault="001B785D" w:rsidP="001B785D">
      <w:pPr>
        <w:widowControl w:val="0"/>
        <w:spacing w:before="120" w:after="0" w:line="264" w:lineRule="auto"/>
        <w:ind w:left="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 </w:t>
      </w:r>
      <w:r w:rsidRPr="001B785D">
        <w:rPr>
          <w:rFonts w:ascii="Times New Roman" w:eastAsia="Times New Roman" w:hAnsi="Times New Roman" w:cs="Times New Roman"/>
          <w:b/>
          <w:bCs/>
          <w:sz w:val="28"/>
          <w:szCs w:val="28"/>
        </w:rPr>
        <w:t>Đánh giá về bình đẳng giới</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Các quy định trong dự thảo Thông tư mang tính kỹ thuật, áp dụng thống nhất đối với các tổ chức, cá nhân tham gia hoạt động mua bán hàng hóa qua Sở giao dịch hàng hóa, không phân biệt giới tính.</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lastRenderedPageBreak/>
        <w:t>Dự thảo Thông tư không đặt ra điều kiện, tiêu chuẩn hoặc cơ chế thực hiện có thể tạo ra sự khác biệt về cơ hội tiếp cận thị trường, quyền và nghĩa vụ giữa nam và nữ.</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Do đó, dự thảo Thông tư bảo đảm nguyên tắc bình đẳng giới theo quy định của pháp luật và không phát sinh tác động tiêu cực đối với bình đẳng giới.</w:t>
      </w:r>
    </w:p>
    <w:p w:rsidR="001B785D" w:rsidRPr="001B785D" w:rsidRDefault="001B785D" w:rsidP="001B785D">
      <w:pPr>
        <w:pStyle w:val="ListParagraph"/>
        <w:widowControl w:val="0"/>
        <w:numPr>
          <w:ilvl w:val="0"/>
          <w:numId w:val="4"/>
        </w:numPr>
        <w:tabs>
          <w:tab w:val="left" w:pos="993"/>
        </w:tabs>
        <w:spacing w:before="120" w:after="0" w:line="264" w:lineRule="auto"/>
        <w:ind w:left="0" w:firstLine="709"/>
        <w:jc w:val="both"/>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Đánh giá việc thực hiện chính sách dân tộc</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Dự thảo Thông tư không điều chỉnh trực tiếp các vấn đề liên quan đến đồng bào dân tộc thiểu số hoặc vùng đồng bào dân tộc thiểu số và miền núi.</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Tuy nhiên, thông qua việc hoàn thiện cơ chế quản lý và phát triển thị trường giao dịch hàng hóa theo hướng minh bạch, hiện đại và hiệu quả, Thông tư góp phần nâng cao khả năng tiêu thụ hàng hóa, đặc biệt là các mặt hàng nông sản, lâm sản và sản phẩm đặc trưng của địa phương.</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Trong dài hạn, việc hình thành thị trường giao dịch hàng hóa minh bạch và ổn định sẽ hỗ trợ người sản xuất tiếp cận thị trường thuận lợi hơn, góp phần thúc đẩy phát triển kinh tế - xã hội tại các địa phương có đông đồng bào dân tộc thiểu số sinh sống.</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
          <w:bCs/>
          <w:sz w:val="28"/>
          <w:szCs w:val="28"/>
        </w:rPr>
      </w:pPr>
      <w:r w:rsidRPr="001B785D">
        <w:rPr>
          <w:rFonts w:ascii="Times New Roman" w:eastAsia="Times New Roman" w:hAnsi="Times New Roman" w:cs="Times New Roman"/>
          <w:b/>
          <w:bCs/>
          <w:sz w:val="28"/>
          <w:szCs w:val="28"/>
        </w:rPr>
        <w:t>III. KẾT LUẬN</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Qua đánh giá cho thấy dự thảo Thông tư không quy định thủ tục hành chính mới, không làm phát sinh điều kiện đầu tư kinh doanh hoặc chi phí tuân thủ không cần thiết cho doanh nghiệp. Các quy định của Thông tư chủ yếu hướng dẫn chi tiết các nội dung đã được giao tại Nghị định, bảo đảm tính minh bạch, thống nhất và khả thi trong tổ chức thực hiện.</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Dự thảo Thông tư có tác động tích cực đối với công tác quản lý nhà nước thông qua việc tăng cường ứng dụng công nghệ thông tin, thúc đẩy chuyển đổi số, hình thành cơ sở dữ liệu phục vụ giám sát thị trường theo thời gian thực, nâng cao hiệu quả quản lý rủi ro và bảo đảm an toàn thị trường giao dịch hàng hóa.</w:t>
      </w:r>
    </w:p>
    <w:p w:rsidR="001B785D" w:rsidRPr="001B785D" w:rsidRDefault="001B785D" w:rsidP="001B785D">
      <w:pPr>
        <w:widowControl w:val="0"/>
        <w:spacing w:before="120" w:after="0" w:line="264" w:lineRule="auto"/>
        <w:ind w:firstLine="720"/>
        <w:jc w:val="both"/>
        <w:rPr>
          <w:rFonts w:ascii="Times New Roman" w:eastAsia="Times New Roman" w:hAnsi="Times New Roman" w:cs="Times New Roman"/>
          <w:bCs/>
          <w:sz w:val="28"/>
          <w:szCs w:val="28"/>
        </w:rPr>
      </w:pPr>
      <w:r w:rsidRPr="001B785D">
        <w:rPr>
          <w:rFonts w:ascii="Times New Roman" w:eastAsia="Times New Roman" w:hAnsi="Times New Roman" w:cs="Times New Roman"/>
          <w:bCs/>
          <w:sz w:val="28"/>
          <w:szCs w:val="28"/>
        </w:rPr>
        <w:t>Đồng thời, dự thảo Thông tư phù hợp với chủ trương cải cách thủ tục hành chính, phát triển khoa học công nghệ, đổi mới sáng tạo, chuyển đổi số quốc gia; bảo đảm bình đẳng giới và không phát sinh tác động bất lợi đối với việc thực hiện chính sách dân tộc.</w:t>
      </w:r>
    </w:p>
    <w:p w:rsidR="007E719B" w:rsidRPr="001B785D" w:rsidRDefault="001B785D" w:rsidP="001B785D">
      <w:pPr>
        <w:widowControl w:val="0"/>
        <w:spacing w:before="120" w:after="0" w:line="264" w:lineRule="auto"/>
        <w:ind w:firstLine="720"/>
        <w:jc w:val="both"/>
        <w:rPr>
          <w:rFonts w:ascii="Times New Roman" w:eastAsia="Times New Roman" w:hAnsi="Times New Roman" w:cs="Times New Roman"/>
          <w:sz w:val="28"/>
          <w:szCs w:val="28"/>
        </w:rPr>
      </w:pPr>
      <w:r w:rsidRPr="001B785D">
        <w:rPr>
          <w:rFonts w:ascii="Times New Roman" w:eastAsia="Times New Roman" w:hAnsi="Times New Roman" w:cs="Times New Roman"/>
          <w:bCs/>
          <w:sz w:val="28"/>
          <w:szCs w:val="28"/>
        </w:rPr>
        <w:t>Trên cơ sở đó, việc ban hành Thông tư là cần thiết, có tính khả thi cao và đáp ứng yêu cầu quản lý nhà nước đối với hoạt động mua bán hàng hóa qua Sở giao dịch hà</w:t>
      </w:r>
      <w:r w:rsidRPr="001B785D">
        <w:rPr>
          <w:rFonts w:ascii="Times New Roman" w:eastAsia="Times New Roman" w:hAnsi="Times New Roman" w:cs="Times New Roman"/>
          <w:bCs/>
          <w:sz w:val="28"/>
          <w:szCs w:val="28"/>
        </w:rPr>
        <w:t>ng hóa trong giai đoạn hiện nay</w:t>
      </w:r>
      <w:r w:rsidR="00761236" w:rsidRPr="001B785D">
        <w:rPr>
          <w:rFonts w:ascii="Times New Roman" w:eastAsia="Times New Roman" w:hAnsi="Times New Roman" w:cs="Times New Roman"/>
          <w:sz w:val="28"/>
          <w:szCs w:val="28"/>
        </w:rPr>
        <w:t>.</w:t>
      </w:r>
      <w:r w:rsidR="004659B3" w:rsidRPr="001B785D">
        <w:rPr>
          <w:rFonts w:ascii="Times New Roman" w:eastAsia="Times New Roman" w:hAnsi="Times New Roman" w:cs="Times New Roman"/>
          <w:sz w:val="28"/>
          <w:szCs w:val="28"/>
        </w:rPr>
        <w:t>/.</w:t>
      </w:r>
      <w:r w:rsidR="00761236" w:rsidRPr="001B785D">
        <w:rPr>
          <w:rFonts w:ascii="Times New Roman" w:eastAsia="Times New Roman" w:hAnsi="Times New Roman" w:cs="Times New Roman"/>
          <w:sz w:val="28"/>
          <w:szCs w:val="28"/>
        </w:rPr>
        <w:tab/>
      </w:r>
    </w:p>
    <w:sectPr w:rsidR="007E719B" w:rsidRPr="001B785D" w:rsidSect="004659B3">
      <w:headerReference w:type="default" r:id="rId7"/>
      <w:pgSz w:w="11907" w:h="16840"/>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5A9C" w:rsidRDefault="00DC5A9C">
      <w:pPr>
        <w:spacing w:after="0" w:line="240" w:lineRule="auto"/>
      </w:pPr>
      <w:r>
        <w:separator/>
      </w:r>
    </w:p>
  </w:endnote>
  <w:endnote w:type="continuationSeparator" w:id="0">
    <w:p w:rsidR="00DC5A9C" w:rsidRDefault="00DC5A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B54EE6FB-FB05-43A9-B6FF-4BAF91901B47}"/>
    <w:embedBold r:id="rId2" w:fontKey="{619B6FC9-077D-4D8E-94EA-C0D4B9BAD23F}"/>
  </w:font>
  <w:font w:name="Calibri">
    <w:panose1 w:val="020F0502020204030204"/>
    <w:charset w:val="00"/>
    <w:family w:val="swiss"/>
    <w:pitch w:val="variable"/>
    <w:sig w:usb0="E4002EFF" w:usb1="C000247B" w:usb2="00000009" w:usb3="00000000" w:csb0="000001FF" w:csb1="00000000"/>
    <w:embedRegular r:id="rId3" w:fontKey="{8318D93A-8A2A-4DA7-8F04-3CD727DD6B33}"/>
    <w:embedBold r:id="rId4" w:fontKey="{133CBC38-E2E7-4B6D-A27F-51BEE49AAE80}"/>
    <w:embedItalic r:id="rId5" w:fontKey="{1E84F415-E14D-41DF-BCE6-5B9C08938B1B}"/>
    <w:embedBoldItalic r:id="rId6" w:fontKey="{E4619536-8855-4609-9917-49B07B48861B}"/>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5A9C" w:rsidRDefault="00DC5A9C">
      <w:pPr>
        <w:spacing w:after="0" w:line="240" w:lineRule="auto"/>
      </w:pPr>
      <w:r>
        <w:separator/>
      </w:r>
    </w:p>
  </w:footnote>
  <w:footnote w:type="continuationSeparator" w:id="0">
    <w:p w:rsidR="00DC5A9C" w:rsidRDefault="00DC5A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19B" w:rsidRDefault="00761236">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1B785D">
      <w:rPr>
        <w:noProof/>
        <w:color w:val="000000"/>
      </w:rPr>
      <w:t>2</w:t>
    </w:r>
    <w:r>
      <w:rPr>
        <w:color w:val="000000"/>
      </w:rPr>
      <w:fldChar w:fldCharType="end"/>
    </w:r>
  </w:p>
  <w:p w:rsidR="007E719B" w:rsidRDefault="007E719B">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C363AB"/>
    <w:multiLevelType w:val="hybridMultilevel"/>
    <w:tmpl w:val="05747F72"/>
    <w:lvl w:ilvl="0" w:tplc="D6E243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27425807"/>
    <w:multiLevelType w:val="hybridMultilevel"/>
    <w:tmpl w:val="EBE8BFFE"/>
    <w:lvl w:ilvl="0" w:tplc="D624E10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5A0091E"/>
    <w:multiLevelType w:val="hybridMultilevel"/>
    <w:tmpl w:val="B1687C20"/>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1822328"/>
    <w:multiLevelType w:val="hybridMultilevel"/>
    <w:tmpl w:val="9000C0EC"/>
    <w:lvl w:ilvl="0" w:tplc="633A1518">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719B"/>
    <w:rsid w:val="001B785D"/>
    <w:rsid w:val="00224828"/>
    <w:rsid w:val="00417995"/>
    <w:rsid w:val="004659B3"/>
    <w:rsid w:val="00761236"/>
    <w:rsid w:val="007E719B"/>
    <w:rsid w:val="00D92E59"/>
    <w:rsid w:val="00DC5A9C"/>
    <w:rsid w:val="00E639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57BA08"/>
  <w15:docId w15:val="{176C144E-5A1E-4048-AC1E-E33080474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Cambria"/>
        <w:sz w:val="22"/>
        <w:szCs w:val="22"/>
        <w:lang w:val="e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0"/>
      <w:outlineLvl w:val="0"/>
    </w:pPr>
    <w:rPr>
      <w:rFonts w:ascii="Calibri" w:eastAsia="Calibri" w:hAnsi="Calibri" w:cs="Calibri"/>
      <w:b/>
      <w:bCs/>
      <w:color w:val="366091"/>
      <w:sz w:val="28"/>
      <w:szCs w:val="28"/>
    </w:rPr>
  </w:style>
  <w:style w:type="paragraph" w:styleId="Heading2">
    <w:name w:val="heading 2"/>
    <w:basedOn w:val="Normal"/>
    <w:next w:val="Normal"/>
    <w:pPr>
      <w:keepNext/>
      <w:keepLines/>
      <w:spacing w:before="200" w:after="0"/>
      <w:outlineLvl w:val="1"/>
    </w:pPr>
    <w:rPr>
      <w:rFonts w:ascii="Calibri" w:eastAsia="Calibri" w:hAnsi="Calibri" w:cs="Calibri"/>
      <w:b/>
      <w:bCs/>
      <w:color w:val="4F81BD"/>
      <w:sz w:val="26"/>
      <w:szCs w:val="26"/>
    </w:rPr>
  </w:style>
  <w:style w:type="paragraph" w:styleId="Heading3">
    <w:name w:val="heading 3"/>
    <w:basedOn w:val="Normal"/>
    <w:next w:val="Normal"/>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pPr>
      <w:keepNext/>
      <w:keepLines/>
      <w:spacing w:before="200" w:after="0"/>
      <w:outlineLvl w:val="3"/>
    </w:pPr>
    <w:rPr>
      <w:rFonts w:ascii="Calibri" w:eastAsia="Calibri" w:hAnsi="Calibri" w:cs="Calibri"/>
      <w:b/>
      <w:bCs/>
      <w:i/>
      <w:iCs/>
      <w:color w:val="4F81BD"/>
    </w:rPr>
  </w:style>
  <w:style w:type="paragraph" w:styleId="Heading5">
    <w:name w:val="heading 5"/>
    <w:basedOn w:val="Normal"/>
    <w:next w:val="Normal"/>
    <w:pPr>
      <w:keepNext/>
      <w:keepLines/>
      <w:spacing w:before="200" w:after="0"/>
      <w:outlineLvl w:val="4"/>
    </w:pPr>
    <w:rPr>
      <w:rFonts w:ascii="Calibri" w:eastAsia="Calibri" w:hAnsi="Calibri" w:cs="Calibri"/>
      <w:color w:val="243F61"/>
    </w:rPr>
  </w:style>
  <w:style w:type="paragraph" w:styleId="Heading6">
    <w:name w:val="heading 6"/>
    <w:basedOn w:val="Normal"/>
    <w:next w:val="Normal"/>
    <w:pPr>
      <w:keepNext/>
      <w:keepLines/>
      <w:spacing w:before="200" w:after="0"/>
      <w:outlineLvl w:val="5"/>
    </w:pPr>
    <w:rPr>
      <w:rFonts w:ascii="Calibri" w:eastAsia="Calibri" w:hAnsi="Calibri" w:cs="Calibri"/>
      <w:i/>
      <w:iCs/>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pBdr>
        <w:bottom w:val="single" w:sz="8" w:space="4" w:color="4F81BD"/>
      </w:pBdr>
      <w:spacing w:after="300" w:line="240" w:lineRule="auto"/>
    </w:pPr>
    <w:rPr>
      <w:rFonts w:ascii="Calibri" w:eastAsia="Calibri" w:hAnsi="Calibri" w:cs="Calibri"/>
      <w:color w:val="17365D"/>
      <w:sz w:val="52"/>
      <w:szCs w:val="52"/>
    </w:rPr>
  </w:style>
  <w:style w:type="paragraph" w:styleId="Subtitle">
    <w:name w:val="Subtitle"/>
    <w:basedOn w:val="Normal"/>
    <w:next w:val="Normal"/>
    <w:rPr>
      <w:rFonts w:ascii="Calibri" w:eastAsia="Calibri" w:hAnsi="Calibri" w:cs="Calibri"/>
      <w:i/>
      <w:iCs/>
      <w:color w:val="4F81BD"/>
      <w:sz w:val="24"/>
      <w:szCs w:val="24"/>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4659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59B3"/>
  </w:style>
  <w:style w:type="paragraph" w:styleId="Footer">
    <w:name w:val="footer"/>
    <w:basedOn w:val="Normal"/>
    <w:link w:val="FooterChar"/>
    <w:uiPriority w:val="99"/>
    <w:unhideWhenUsed/>
    <w:rsid w:val="00465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59B3"/>
  </w:style>
  <w:style w:type="paragraph" w:styleId="ListParagraph">
    <w:name w:val="List Paragraph"/>
    <w:basedOn w:val="Normal"/>
    <w:uiPriority w:val="34"/>
    <w:qFormat/>
    <w:rsid w:val="001B785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2661131">
      <w:bodyDiv w:val="1"/>
      <w:marLeft w:val="0"/>
      <w:marRight w:val="0"/>
      <w:marTop w:val="0"/>
      <w:marBottom w:val="0"/>
      <w:divBdr>
        <w:top w:val="none" w:sz="0" w:space="0" w:color="auto"/>
        <w:left w:val="none" w:sz="0" w:space="0" w:color="auto"/>
        <w:bottom w:val="none" w:sz="0" w:space="0" w:color="auto"/>
        <w:right w:val="none" w:sz="0" w:space="0" w:color="auto"/>
      </w:divBdr>
    </w:div>
    <w:div w:id="17831139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1364</Words>
  <Characters>7777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ChinhDung</dc:creator>
  <cp:lastModifiedBy>ChinhDung</cp:lastModifiedBy>
  <cp:revision>2</cp:revision>
  <dcterms:created xsi:type="dcterms:W3CDTF">2026-06-11T23:47:00Z</dcterms:created>
  <dcterms:modified xsi:type="dcterms:W3CDTF">2026-06-11T23:47:00Z</dcterms:modified>
</cp:coreProperties>
</file>